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3" w:rsidRPr="00487173" w:rsidRDefault="00487173" w:rsidP="0048717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871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Листы (бланки) для записи ответов участников ГИА</w:t>
      </w:r>
    </w:p>
    <w:p w:rsidR="00487173" w:rsidRPr="00487173" w:rsidRDefault="00487173" w:rsidP="0048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173" w:rsidRPr="00487173" w:rsidRDefault="00487173" w:rsidP="004871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12529756"/>
      <w:bookmarkStart w:id="1" w:name="_Toc25677115"/>
      <w:r w:rsidRPr="0048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часть</w:t>
      </w:r>
      <w:bookmarkEnd w:id="0"/>
      <w:bookmarkEnd w:id="1"/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Участники ГИА выполняют экзаменационные работы на листах (бланках) для записи ответов, включающих в себя: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(бланк) для записи ответов № 1 на задания с кратким ответом;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(бланк) для записи ответов № 2 на задания с развернутым ответом;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лист (бланк) для записи ответов № 2 на задания с развернутым ответом;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(бланк) устного экзамена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листе (бланке) для записи ответов № 1 на задания с кратким ответом рекомендуется предусмотреть три части – верхнюю, среднюю и нижнюю.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(бланка) ответов № 1 (регистрационная часть) предлагается расположить следующие поля: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«Код региона»;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образовательной организации»;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«Номер и буква класса»;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пункта проведения экзамена»;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«Номер аудитории»;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предмета»;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«Название предмета»;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«Дата проведения экзамена»;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участнике государственной итоговой аттестации», включающие в себя: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документа, удостоверяющего личность</w:t>
      </w:r>
      <w:r w:rsidRPr="004871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«Подпись участника экзамена».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верхней части листа (бланка) ответов № 1 на задания с кратким ответом необходимо 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образец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написания цифр, букв и символов.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части листа (бланка) для записи ответов № 1 рекомендуется расположить поле (я) записи результатов выполнения заданий с кратким ответом.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 листа (бланка) для записи ответов № 1 предлагается предусмотреть поля: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«Замена ошибочных ответов на задания с кратким ответом»;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заполненных полей «Замена ошибочных ответов»;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экзамена в связи с нарушением порядка проведения ГИА»;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завершил экзамен по уважительной причине»;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«Подпись ответственного организатора».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листе (бланке) ответов № 1 на задания с кратким ответом по химии предусмотреть поля для оценивания лабораторной работы двумя экспертами.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листе (бланке) для записи ответов № 2 на задания с развернутым ответом и дополнительном листе (бланке) для записи ответов № 2 на задания с развернутым ответом рекомендуется предусмотреть две части – верхнюю и нижнюю.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(бланка) для записи ответов № 2 и дополнительном листе (бланке) для записи ответов № 2 предлагается расположить следующие поля: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региона»;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предмета»;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«Название предмета».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этой части необходимо предусмотреть поле для записи цифрового значения кода дополнительного листа (бланка) ответов № 2 и (или) следующего дополнительного листа (бланка) для записи ответов № 2, который будет использован участником экзамена.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листа (бланка) для записи ответов №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ВАЖНО!!! Оборотная сторона листа (бланка) для записи ответов № 2 и дополнительного листа (бланка) для записи ответов № 2 ЗАПОЛНЯЕТСЯ!!!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листе (бланке) устного экзамена рекомендуется предусмотреть три части – верхнюю, среднюю и нижнюю.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листа (бланка) устного экзамена предлагается расположить следующие поля: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региона»;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образовательной организации»;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«Номер и буква класса»;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пункта проведения экзамена»;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«Номер аудитории»;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предмета»;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«Название предмета»;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«Дата проведения экзамена».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верхней части листа (бланка) устного экзамена необходимо 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образец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написания цифр, букв и символов.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части листа (бланка) устного экзамена указываются следующие сведения об участнике государственной итоговой аттестации: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документа, удостоверяющего личность</w:t>
      </w:r>
      <w:r w:rsidRPr="004871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«Подпись участника экзамена».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 листа (бланка) устного экзамена рекомендуется расположить поля: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экзамена в связи с нарушением порядка проведения ГИА»;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завершил экзамен по уважительной причине».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«Подпись ответственного организатора».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правила заполнения листов (бланков) для записи ответов.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листы (бланки) для записи ответов заполняются </w:t>
      </w:r>
      <w:proofErr w:type="spell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капиллярной ручкой с чернилами черного цвета.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метки («Х») не должен быть слишком толстым.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экзамена должен изображать каждую цифру и букву во всех заполняемых полях листов (бланков) для записи ответов № 1, тщательно копируя образец ее написания из строки с образцами написания символов.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поле в бланках заполняется, начиная с первой позиции (в том числе и поля для занесения фамилии, имени и отчества (при наличии) участника экзамена, реквизитов документа, удостоверяющего личность).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листах (бланках) для записи ответов № 1 и № 2, а также на дополнительном листе (бланке) для записи ответов № 2 не должно быть пометок, содержащих информацию о личности участника экзамена.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</w:t>
      </w: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 полях, вне полей листов (бланков) для записи ответов № 1 и № 2, дополнительных листах (бланках) для записи ответов № 2 какие-либо записи и (или) пометки, не относящиеся к содержанию полей указанных листов (бланков) для записи ответов; </w:t>
      </w:r>
    </w:p>
    <w:p w:rsidR="00487173" w:rsidRPr="00487173" w:rsidRDefault="00487173" w:rsidP="0048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для заполнения листов (бланков) для записи ответов цветные ручки вместо черной, карандаш, иные письменные принадлежности, средства для исправления внесенной в листы (бланки) для записи ответов информации (корректирующую жидкость, ластик и др.). </w:t>
      </w:r>
    </w:p>
    <w:p w:rsidR="00487173" w:rsidRPr="00487173" w:rsidRDefault="00487173" w:rsidP="004871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3" w:rsidRPr="00487173" w:rsidRDefault="00487173" w:rsidP="004871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5677116"/>
      <w:bookmarkStart w:id="3" w:name="_Toc512529757"/>
      <w:r w:rsidRPr="0048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Заполнение листа (бланка) для записи ответов № 1</w:t>
      </w:r>
      <w:bookmarkEnd w:id="2"/>
      <w:bookmarkEnd w:id="3"/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ответственного организатора в аудитории участники экзамена заполняют верхнюю часть листа (бланка) для записи ответов № 1 на задания с кратким ответом.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организатор в аудитории проверяет правильность заполнения регистрационных полей </w:t>
      </w:r>
      <w:r w:rsidRPr="00487173">
        <w:rPr>
          <w:rFonts w:ascii="Times New Roman" w:eastAsia="Calibri" w:hAnsi="Times New Roman" w:cs="Times New Roman"/>
          <w:sz w:val="24"/>
          <w:szCs w:val="24"/>
          <w:lang w:eastAsia="ru-RU"/>
        </w:rPr>
        <w:t>у каждого участника экзамена и соответствие данных участника экзамена (ФИО, серии и номера документа, удостоверяющего личность) в регистрационных полях и документе, удостоверяющем личность. В случае обнаружения ошибочного заполнения регистрационных полей организаторы дают указание участнику экзамена внести соответствующие исправления.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Calibri" w:hAnsi="Times New Roman" w:cs="Times New Roman"/>
          <w:sz w:val="24"/>
          <w:szCs w:val="24"/>
          <w:lang w:eastAsia="ru-RU"/>
        </w:rPr>
        <w:t>Исправления могут быть выполнены следующими способами: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Calibri" w:hAnsi="Times New Roman" w:cs="Times New Roman"/>
          <w:sz w:val="24"/>
          <w:szCs w:val="24"/>
          <w:lang w:eastAsia="ru-RU"/>
        </w:rPr>
        <w:t>запись новых символов (цифр, букв) более жирным шрифтом поверх ранее написанных символов (цифр, букв);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Calibri" w:hAnsi="Times New Roman" w:cs="Times New Roman"/>
          <w:sz w:val="24"/>
          <w:szCs w:val="24"/>
          <w:lang w:eastAsia="ru-RU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полей «Удален с экзамена в связи с нарушением порядка проведения ГИА» или «Не завершил экзамен по уважительной причине» организатором в аудитории обязательно, если участник экзамена удален с экзамена в связи с нарушением установленного порядка проведения ГИА или не завершил экзамен по объективным причинам. Отметка организатора в аудитории заверяется подписью организатора в специально отведенном для этого поле «Подпись ответственного организатора».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экзамена отказывается ставить личную подпись в поле «Подпись участника ГИА», организатор в аудитории ставит свою подпись в поле участника экзамена.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части листа (бланка) для записи ответов № 1 на здания с кратким ответом краткий ответ записывается справа от номера задания. 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 задание с кратким ответом нужно записать в такой форме, в которой требуется в инструкции к данному заданию (или группе заданий), размещенной 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соответствующим заданием или группой заданий (рис. 1). 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использовать при записи ответа на задания с кратким ответом никакие иные символы, кроме символов кириллицы, латиницы, арабских цифр, запятой и знака «дефис» («минус»), диакритических знаков, образцы которых даны в верхней части бланка.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ответ в соответствии с инструкцией к заданию может быть записан только в виде: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цифры;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 числа (возможно использование знака «минус»);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конечной десятичной дроби (</w:t>
      </w: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знака «минус»);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последовательности символов</w:t>
      </w:r>
      <w:r w:rsidRPr="004871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состоящей из букв и (или) цифр;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или словосочетания (нескольких слов).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7C5AA" wp14:editId="20C6F8E8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3" w:rsidRPr="00487173" w:rsidRDefault="00487173" w:rsidP="004871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512529758"/>
      <w:bookmarkStart w:id="5" w:name="_Toc25677117"/>
      <w:r w:rsidRPr="0048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ошибочных ответов</w:t>
      </w:r>
      <w:bookmarkEnd w:id="4"/>
      <w:bookmarkEnd w:id="5"/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листа (бланка) для записи ответов № 1 на задания с кратким ответом предусмотрены поля для записи исправленных ответов на задания с кратким ответом взамен ошибочно записанных.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замены ответа, внесенного в лист (бланк) для записи ответов № 1  на задания с кратким ответом,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 (рис. 2).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 области замены ошибочных ответов на задания с кратким ответом будет заполнено поле для номера задания, а новый ответ не внесен, </w:t>
      </w: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для оценивания будет использоваться пустой ответ (т.е. задание будет засчитано невыполненным). Поэтому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 пример замены.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7905C" wp14:editId="3079D61D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</w:p>
    <w:p w:rsidR="00487173" w:rsidRPr="00487173" w:rsidRDefault="00487173" w:rsidP="00487173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512529759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лист (бланк) для записи ответов № 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</w:t>
      </w: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ошибочных ответов» поставить соответствующее цифровое значение, а также поставить подпись в специально отведенном месте.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 </w:t>
      </w:r>
    </w:p>
    <w:p w:rsidR="00487173" w:rsidRPr="00487173" w:rsidRDefault="00487173" w:rsidP="004871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3" w:rsidRPr="00487173" w:rsidRDefault="00487173" w:rsidP="004871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25677118"/>
      <w:r w:rsidRPr="0048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Заполнение листов (бланков) для записи ответов № 2 на задания с развернутым ответом</w:t>
      </w:r>
      <w:bookmarkEnd w:id="6"/>
      <w:bookmarkEnd w:id="7"/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(бланк) для записи ответов № 2 предназначен для записи ответов на задания с развернутым ответом (строго в соответствии с требованиями инструкции к КИМ и к отдельным заданиям КИМ). </w:t>
      </w:r>
      <w:proofErr w:type="gramEnd"/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лист (бланк) для записи ответов № 2 делаются в соответствующей последовательности: сначала на лицевой стороне листа (бланка) для записи ответов № 2, затем на оборотной стороне листа (бланка) для записи ответов № 2. При этом участник экзамена делает в нижней части области ответов лицевой стороны листа (бланка) для записи ответов № 2 запись «Смотри на обороте». Оборотная сторона листов (бланков) для записи ответов № 2 ЗАПОЛНЯЕТСЯ!!! 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листы (бланки) для записи ответов № 2, не проверяются.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«Дополнительный лист (бланк) для записи ответов № 2» заполняет организатор в аудитории только при выдаче дополнительного листа (бланка) для записи ответов № 2, вписывая в это поле цифровое значение кода дополнительного листа (бланка) для записи ответов № 2, который выдается участнику экзамена. Если дополнительный лист (бланк) для записи ответов № 2 не выдавался, то поле «Дополнительный лист (бланк) для записи  ответов № 2» остается пустым. </w:t>
      </w:r>
    </w:p>
    <w:p w:rsidR="00487173" w:rsidRPr="00487173" w:rsidRDefault="00487173" w:rsidP="0048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3" w:rsidRPr="00487173" w:rsidRDefault="00487173" w:rsidP="004871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512529760"/>
      <w:bookmarkStart w:id="9" w:name="_Toc25677119"/>
      <w:r w:rsidRPr="0048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Заполнение дополнительного листа (бланка) для записи ответов № 2 на задания с развернутым ответом</w:t>
      </w:r>
      <w:bookmarkEnd w:id="8"/>
      <w:bookmarkEnd w:id="9"/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лист (бланк) для записи ответов № 2 выдается организатором в аудитории по требованию участника экзамена в случае недостаточного количества места для записи развернутых ответов. 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«Дополнительный лист (бланк) для записи ответов № 2» заполняется организатором в аудитории только при выдаче следующего дополнительного листа (бланка) для записи ответов № 2, если участнику экзамена не хватило места на ранее выданных дополнительных листах (бланках) для записи ответов № 2. В этом случае организатор в аудитории вносит в это поле цифровое значение кода следующего дополнительного листа (бланка) для записи  ответов № 2, который выдает участнику экзамена для заполнения. Если дополнительный лист (бланк) для записи ответов № 2 не выдавался, то поле «Дополнительный лист (бланк) для записи ответов № 2» остается пустым.</w:t>
      </w:r>
    </w:p>
    <w:p w:rsidR="00487173" w:rsidRPr="00487173" w:rsidRDefault="00487173" w:rsidP="00487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внесенные в каждый следующий дополнительный лист (бланк) для записи  ответов № 2, оцениваются только в случае полностью заполненного предыдущего дополнительного листа (бланка) для записи ответов № 2 (с лицевой и оборотной сторон).</w:t>
      </w:r>
      <w:proofErr w:type="gramEnd"/>
    </w:p>
    <w:p w:rsidR="00487173" w:rsidRDefault="00487173" w:rsidP="004871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25677120"/>
      <w:bookmarkStart w:id="11" w:name="_Toc533867977"/>
      <w:bookmarkStart w:id="12" w:name="_GoBack"/>
      <w:bookmarkEnd w:id="12"/>
    </w:p>
    <w:p w:rsidR="00487173" w:rsidRPr="00487173" w:rsidRDefault="00487173" w:rsidP="004871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Заполнение листа (бланка) устного экзамена</w:t>
      </w:r>
      <w:bookmarkEnd w:id="10"/>
      <w:bookmarkEnd w:id="11"/>
    </w:p>
    <w:p w:rsidR="00B1065C" w:rsidRPr="00487173" w:rsidRDefault="00487173" w:rsidP="00487173">
      <w:pPr>
        <w:spacing w:after="0" w:line="240" w:lineRule="auto"/>
        <w:rPr>
          <w:sz w:val="24"/>
          <w:szCs w:val="24"/>
        </w:rPr>
      </w:pPr>
      <w:r w:rsidRPr="004871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(бланк) устного экзамена заполняется так же, как регистрационная часть листа (бланка) для записи ответов № 1 (см. п. 9.4). В поле «Номер аудитории» указывается номер аудитории проведения устного экзамена.</w:t>
      </w:r>
    </w:p>
    <w:sectPr w:rsidR="00B1065C" w:rsidRPr="00487173" w:rsidSect="004871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5E" w:rsidRDefault="00AC355E" w:rsidP="00487173">
      <w:pPr>
        <w:spacing w:after="0" w:line="240" w:lineRule="auto"/>
      </w:pPr>
      <w:r>
        <w:separator/>
      </w:r>
    </w:p>
  </w:endnote>
  <w:endnote w:type="continuationSeparator" w:id="0">
    <w:p w:rsidR="00AC355E" w:rsidRDefault="00AC355E" w:rsidP="0048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5E" w:rsidRDefault="00AC355E" w:rsidP="00487173">
      <w:pPr>
        <w:spacing w:after="0" w:line="240" w:lineRule="auto"/>
      </w:pPr>
      <w:r>
        <w:separator/>
      </w:r>
    </w:p>
  </w:footnote>
  <w:footnote w:type="continuationSeparator" w:id="0">
    <w:p w:rsidR="00AC355E" w:rsidRDefault="00AC355E" w:rsidP="00487173">
      <w:pPr>
        <w:spacing w:after="0" w:line="240" w:lineRule="auto"/>
      </w:pPr>
      <w:r>
        <w:continuationSeparator/>
      </w:r>
    </w:p>
  </w:footnote>
  <w:footnote w:id="1">
    <w:p w:rsidR="00487173" w:rsidRPr="004E3FF7" w:rsidRDefault="00487173" w:rsidP="00487173">
      <w:pPr>
        <w:pStyle w:val="1"/>
        <w:rPr>
          <w:rStyle w:val="a4"/>
          <w:rFonts w:ascii="Times New Roman" w:eastAsia="Calibri" w:hAnsi="Times New Roman"/>
          <w:color w:val="auto"/>
        </w:rPr>
      </w:pPr>
      <w:r w:rsidRPr="00E5728A">
        <w:rPr>
          <w:rStyle w:val="a7"/>
        </w:rPr>
        <w:footnoteRef/>
      </w:r>
      <w:r>
        <w:t xml:space="preserve"> </w:t>
      </w:r>
      <w:r w:rsidRPr="004E3FF7">
        <w:rPr>
          <w:rStyle w:val="a4"/>
          <w:rFonts w:ascii="Times New Roman" w:eastAsia="Calibri" w:hAnsi="Times New Roman"/>
          <w:color w:val="auto"/>
        </w:rPr>
        <w:t>Примерный перечень часто используемых при проведении ГИА документов, удостоверяющих личность, приведен в приложении № 2.</w:t>
      </w:r>
    </w:p>
    <w:p w:rsidR="00487173" w:rsidRDefault="00487173" w:rsidP="00487173">
      <w:pPr>
        <w:pStyle w:val="a5"/>
      </w:pPr>
    </w:p>
  </w:footnote>
  <w:footnote w:id="2">
    <w:p w:rsidR="00487173" w:rsidRPr="004E3FF7" w:rsidRDefault="00487173" w:rsidP="00487173">
      <w:pPr>
        <w:pStyle w:val="a3"/>
        <w:rPr>
          <w:b w:val="0"/>
          <w:color w:val="auto"/>
        </w:rPr>
      </w:pPr>
      <w:r w:rsidRPr="004E3FF7">
        <w:rPr>
          <w:rStyle w:val="a7"/>
          <w:rFonts w:eastAsia="Calibri"/>
          <w:color w:val="auto"/>
        </w:rPr>
        <w:footnoteRef/>
      </w:r>
      <w:r w:rsidRPr="004E3FF7">
        <w:rPr>
          <w:rFonts w:eastAsia="Calibri"/>
          <w:color w:val="auto"/>
        </w:rPr>
        <w:t xml:space="preserve"> </w:t>
      </w:r>
      <w:r w:rsidRPr="004E3FF7">
        <w:rPr>
          <w:rFonts w:ascii="Times New Roman" w:eastAsia="Calibri" w:hAnsi="Times New Roman"/>
          <w:b w:val="0"/>
          <w:color w:val="auto"/>
        </w:rPr>
        <w:t>Примерный перечень часто используемых при проведении ГИА документов, удостоверяющих личность, приведен в приложении № 2.</w:t>
      </w:r>
    </w:p>
    <w:p w:rsidR="00487173" w:rsidRDefault="00487173" w:rsidP="00487173">
      <w:pPr>
        <w:pStyle w:val="a5"/>
      </w:pPr>
    </w:p>
  </w:footnote>
  <w:footnote w:id="3">
    <w:p w:rsidR="00487173" w:rsidRPr="00F92C16" w:rsidRDefault="00487173" w:rsidP="0048717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F92C16">
        <w:t xml:space="preserve">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</w:t>
      </w:r>
      <w:r w:rsidRPr="00F92C16">
        <w:rPr>
          <w:b/>
        </w:rPr>
        <w:t xml:space="preserve">без каких-либо разделительных символов, в том числе пробелов, </w:t>
      </w:r>
      <w:r w:rsidRPr="00F92C16">
        <w:t>т.е. нельзя оставлять пустые клеточки, запятые и другие разделительные символы между цифрами (числами) или</w:t>
      </w:r>
      <w:proofErr w:type="gramEnd"/>
      <w:r w:rsidRPr="00F92C16"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B4"/>
    <w:rsid w:val="002024B4"/>
    <w:rsid w:val="00487173"/>
    <w:rsid w:val="00AC355E"/>
    <w:rsid w:val="00B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link w:val="a4"/>
    <w:uiPriority w:val="35"/>
    <w:semiHidden/>
    <w:unhideWhenUsed/>
    <w:qFormat/>
    <w:rsid w:val="00487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footnote text"/>
    <w:basedOn w:val="a"/>
    <w:link w:val="a6"/>
    <w:uiPriority w:val="99"/>
    <w:rsid w:val="00487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871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87173"/>
    <w:rPr>
      <w:rFonts w:ascii="Times New Roman" w:hAnsi="Times New Roman" w:cs="Times New Roman"/>
      <w:sz w:val="22"/>
      <w:vertAlign w:val="superscript"/>
    </w:rPr>
  </w:style>
  <w:style w:type="character" w:customStyle="1" w:styleId="a4">
    <w:name w:val="Название объекта Знак"/>
    <w:aliases w:val="Название объекта Знак1 Знак,Название объекта Знак Знак Знак Знак Знак1 Знак,Название объекта Знак Знак Знак Знак Знак Знак Знак,Название объекта Знак Знак Знак Знак,Название объекта Знак Знак1 Знак"/>
    <w:link w:val="a3"/>
    <w:uiPriority w:val="35"/>
    <w:semiHidden/>
    <w:rsid w:val="00487173"/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8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link w:val="a4"/>
    <w:uiPriority w:val="35"/>
    <w:semiHidden/>
    <w:unhideWhenUsed/>
    <w:qFormat/>
    <w:rsid w:val="00487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footnote text"/>
    <w:basedOn w:val="a"/>
    <w:link w:val="a6"/>
    <w:uiPriority w:val="99"/>
    <w:rsid w:val="00487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871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87173"/>
    <w:rPr>
      <w:rFonts w:ascii="Times New Roman" w:hAnsi="Times New Roman" w:cs="Times New Roman"/>
      <w:sz w:val="22"/>
      <w:vertAlign w:val="superscript"/>
    </w:rPr>
  </w:style>
  <w:style w:type="character" w:customStyle="1" w:styleId="a4">
    <w:name w:val="Название объекта Знак"/>
    <w:aliases w:val="Название объекта Знак1 Знак,Название объекта Знак Знак Знак Знак Знак1 Знак,Название объекта Знак Знак Знак Знак Знак Знак Знак,Название объекта Знак Знак Знак Знак,Название объекта Знак Знак1 Знак"/>
    <w:link w:val="a3"/>
    <w:uiPriority w:val="35"/>
    <w:semiHidden/>
    <w:rsid w:val="00487173"/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8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2019-12-18T15:14:00Z</dcterms:created>
  <dcterms:modified xsi:type="dcterms:W3CDTF">2019-12-18T15:14:00Z</dcterms:modified>
</cp:coreProperties>
</file>