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911A2" w:rsidRPr="009C2603" w:rsidRDefault="007911A2" w:rsidP="0033064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330646" w:rsidP="003306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455F5">
              <w:rPr>
                <w:rFonts w:ascii="Times New Roman" w:hAnsi="Times New Roman" w:cs="Times New Roman"/>
              </w:rPr>
              <w:t>уководителю</w:t>
            </w:r>
          </w:p>
          <w:p w:rsidR="00330646" w:rsidRDefault="00330646" w:rsidP="003306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автономного </w:t>
            </w:r>
          </w:p>
          <w:p w:rsidR="00330646" w:rsidRDefault="00330646" w:rsidP="003306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общеобразовательного учреждения </w:t>
            </w:r>
          </w:p>
          <w:p w:rsidR="00330646" w:rsidRDefault="00330646" w:rsidP="003306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Ростова-на-дону</w:t>
            </w:r>
          </w:p>
          <w:p w:rsidR="00330646" w:rsidRDefault="00330646" w:rsidP="003306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«Школа № 5»</w:t>
            </w:r>
          </w:p>
          <w:p w:rsidR="001D6918" w:rsidRPr="00330646" w:rsidRDefault="00330646" w:rsidP="00330646">
            <w:pPr>
              <w:jc w:val="right"/>
              <w:rPr>
                <w:rFonts w:ascii="Times New Roman" w:hAnsi="Times New Roman" w:cs="Times New Roman"/>
              </w:rPr>
            </w:pPr>
            <w:r w:rsidRPr="00330646">
              <w:rPr>
                <w:rFonts w:ascii="Times New Roman" w:hAnsi="Times New Roman" w:cs="Times New Roman"/>
              </w:rPr>
              <w:t>Божко Анатолию Валерьевичу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33064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330646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3064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0646" w:rsidRDefault="00330646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646" w:rsidRDefault="00330646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</w:t>
                  </w:r>
                  <w:r w:rsidRPr="0033064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ЕГЭ </w:t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Pr="00E406A6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Pr="00E406A6">
                    <w:rPr>
                      <w:rFonts w:ascii="Times New Roman" w:hAnsi="Times New Roman" w:cs="Times New Roman"/>
                      <w:i/>
                    </w:rPr>
                    <w:t xml:space="preserve">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="00330646">
                    <w:rPr>
                      <w:rFonts w:ascii="Times New Roman" w:hAnsi="Times New Roman" w:cs="Times New Roman"/>
                      <w:b/>
                    </w:rPr>
                    <w:t>в 2019</w:t>
                  </w:r>
                  <w:bookmarkStart w:id="0" w:name="_GoBack"/>
                  <w:bookmarkEnd w:id="0"/>
                  <w:r w:rsidRPr="00E406A6">
                    <w:rPr>
                      <w:rFonts w:ascii="Times New Roman" w:hAnsi="Times New Roman" w:cs="Times New Roman"/>
                      <w:b/>
                    </w:rPr>
                    <w:t>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34" w:rsidRDefault="003A1834">
      <w:r>
        <w:separator/>
      </w:r>
    </w:p>
  </w:endnote>
  <w:endnote w:type="continuationSeparator" w:id="0">
    <w:p w:rsidR="003A1834" w:rsidRDefault="003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34" w:rsidRDefault="003A1834">
      <w:r>
        <w:separator/>
      </w:r>
    </w:p>
  </w:footnote>
  <w:footnote w:type="continuationSeparator" w:id="0">
    <w:p w:rsidR="003A1834" w:rsidRDefault="003A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0646"/>
    <w:rsid w:val="00331A6F"/>
    <w:rsid w:val="00335FE1"/>
    <w:rsid w:val="0034290B"/>
    <w:rsid w:val="0034451A"/>
    <w:rsid w:val="0036244E"/>
    <w:rsid w:val="00362AA7"/>
    <w:rsid w:val="0037621F"/>
    <w:rsid w:val="00386FEE"/>
    <w:rsid w:val="003A1834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E7B6F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9732C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04E6-14EF-477B-82EB-8596046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2</cp:revision>
  <cp:lastPrinted>2019-10-24T09:35:00Z</cp:lastPrinted>
  <dcterms:created xsi:type="dcterms:W3CDTF">2019-12-06T15:27:00Z</dcterms:created>
  <dcterms:modified xsi:type="dcterms:W3CDTF">2019-12-06T15:27:00Z</dcterms:modified>
</cp:coreProperties>
</file>