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C8" w:rsidRPr="001459C8" w:rsidRDefault="001459C8" w:rsidP="001459C8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1459C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Д</w:t>
      </w:r>
      <w:r w:rsidRPr="001459C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ополнительные материалы и о</w:t>
      </w:r>
      <w:r w:rsidRPr="001459C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борудование </w:t>
      </w:r>
      <w:r w:rsidRPr="001459C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к ОГЭ по учебным предметам</w:t>
      </w:r>
    </w:p>
    <w:p w:rsidR="001459C8" w:rsidRPr="001459C8" w:rsidRDefault="001459C8" w:rsidP="00145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187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9416"/>
      </w:tblGrid>
      <w:tr w:rsidR="001459C8" w:rsidRPr="001459C8" w:rsidTr="001459C8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:rsidR="001459C8" w:rsidRPr="001459C8" w:rsidRDefault="001459C8" w:rsidP="0014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Учебный предмет ОГЭ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459C8" w:rsidRPr="001459C8" w:rsidRDefault="001459C8" w:rsidP="0014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обучения и воспитания</w:t>
            </w:r>
          </w:p>
        </w:tc>
        <w:tc>
          <w:tcPr>
            <w:tcW w:w="9416" w:type="dxa"/>
            <w:shd w:val="clear" w:color="auto" w:fill="auto"/>
            <w:vAlign w:val="center"/>
          </w:tcPr>
          <w:p w:rsidR="001459C8" w:rsidRPr="001459C8" w:rsidRDefault="001459C8" w:rsidP="001459C8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Условия проведения экзамена в аудиториях и требования к специалистам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заданий.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Географические атласы для 7 - 9 классов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</w:t>
            </w:r>
            <w:proofErr w:type="gramEnd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Пользоваться личными географическими атласами для 7 - 9 классов участникам экзамена в целях предупреждения недопущения нарушений Порядка в части использования справочных материалов, письменных заметок </w:t>
            </w: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запрещено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экзамене в аудиторию не допускаются специалисты по географии. 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обучения и воспитания не используются</w:t>
            </w: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экзамене в аудиторию не допускаются специалисты по истории и обществознанию. 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Проверку экзаменационных работ (заданий с развернутым ответом)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Линейка для проведения измерений при выполнении заданий с рисунками; 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непрограммируемый калькулятор.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экзамене в аудиторию не допускаются специалисты по биологии.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Проверку экзаменационных работ (заданий с развернутым ответом) осуществляют эксперты, прошедшие специальную подготовку по проверке 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 оцениванию заданий с развернутыми ответами.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Химия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Непрограммируемый калькулятор; лабораторное оборудование для проведения химических опытов 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Комплекты стандартизированного лабораторного оборудования и реактивов для проведения химического эксперимента)</w:t>
            </w: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 проводится в кабинетах химии. При необходимости можно использовать другие кабинеты, отвечающие требованиям СанПиН к кабинетам химии.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Полный перечень материалов и оборудования приведен в Приложении 2 к  Спецификации КИМ для проведения в 2020 году ОГЭ по химии 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Проведение лабораторных опытов при выполнении задания 24 осуществляется в условиях химической лаборатории, оборудование которой должно отвечать требованиям СанПиН к кабинетам химии.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 xml:space="preserve">Перед началом выполнения заданий экзаменационной работы специалист по проведению инструктажа и обеспечению лабораторных работ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экзамена. К выполнению задания 24 не допускаются участники экзамена, не прошедшие инструктаж по технике безопасности. 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проведении химического эксперимента подготовку и выдачу лабораторных комплектов осуществляют специалисты по обеспечению лабораторных работ, прошедшие соответствующую подготовку. 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На экзамене в каждой аудитории присутствуют два эксперта,</w:t>
            </w:r>
            <w:r w:rsidRPr="0014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оценивающих выполнение лабораторных работ</w:t>
            </w: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 xml:space="preserve"> (задания 24).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Проверку экзаменационных работ (заданий с развернутым ответом)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Линейка для построения графиков, оптических и электрических схем; 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непрограммируемый калькулятор; лабораторное оборудование для выполнения экспериментального задания по проведению измерения физических величин.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Полный перечень материалов и оборудования приведен в Приложении 2 к  Спецификации КИМ для проведения в 2020 году ОГЭ по физике 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Экзамен проводится в кабинете физики. При необходимости можно использовать другие кабинеты, отвечающие требованиям безопасного труда при выполнении 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экспериментальных заданий экзаменационной работы. 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На экзамене в каждой аудитории присутствует специалист по проведению инструктажа и обеспечению лабораторных работ, прошедший соответствующую подготовку, который проводит перед экзаменом инструктаж по технике безопасности и следит за соблюдением правил безопасного труда во время работы экзаменуемых с лабораторным оборудованием.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Комплекты лабораторного оборудования для выполнения экспериментальных заданий формируются заблаговременно, до проведения экзамена. 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Перечень комплектов оборудования для выполнения экспериментального задания составлен на основе типовых наборов для фронтальных работ по физике.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Особенность комплектов состоит в том, что один комплект предназначен для выполнения целой серии экспериментальных заданий. Поэтому для одного конкретного задания комплекты избыточны по сравнению с номенклатурой оборудования, необходимого для его выполнения.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 xml:space="preserve">Экспериментальное задание </w:t>
            </w:r>
            <w:proofErr w:type="gramStart"/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КИМ</w:t>
            </w:r>
            <w:proofErr w:type="gramEnd"/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 xml:space="preserve"> ОГЭ 2020 г. разрабатываются </w:t>
            </w:r>
            <w:r w:rsidRPr="001459C8">
              <w:rPr>
                <w:rFonts w:ascii="Times New Roman" w:eastAsia="TimesNew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только </w:t>
            </w: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 xml:space="preserve">на базе комплектов оборудования </w:t>
            </w:r>
            <w:r w:rsidRPr="001459C8">
              <w:rPr>
                <w:rFonts w:ascii="Times New Roman" w:eastAsia="TimesNewRoman" w:hAnsi="Times New Roman" w:cs="Times New Roman"/>
                <w:b/>
                <w:bCs/>
                <w:sz w:val="26"/>
                <w:szCs w:val="26"/>
                <w:lang w:eastAsia="ru-RU"/>
              </w:rPr>
              <w:t>№ 1, № 2, № 3, № 4 и № 6</w:t>
            </w: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(Задания с использованием комплектов № 5 и № 7 будут вводиться в КИМ ОГЭ в последующие годы.)</w:t>
            </w:r>
            <w:proofErr w:type="gramEnd"/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Внимание! </w:t>
            </w:r>
            <w:proofErr w:type="gramStart"/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В материалах для экспертов примеры возможных ответов на экспериментальные задания приведены в соответствии с рекомендуемыми характеристиками</w:t>
            </w:r>
            <w:proofErr w:type="gramEnd"/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 xml:space="preserve"> оборудования, указанными в описании комплектов. При использовании элементов оборудования с другими характеристиками необходимо внести соответствующие изменения в перечень комплектов перед проведением экзамена и довести информацию о внесенных изменениях до сведения экспертов, проверяющих задания с развернутым ответом.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Вмешиваться в работу участника экзамена при выполнении им экспериментального задания специалист по обеспечению лабораторных работ по физике имеет право только в случае нарушения участником экзамена техники безопасности, обнаружения неисправности оборудования или других нештатных ситуаций. 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Проверку экзаменационных работ (заданий с развернутыми ответами) осуществляют эксперты, прошедшие специальную подготовку по проверке 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 оцениванию заданий с развернутыми ответами.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Русский язык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Орфографические словари, позволяющие устанавливать нормативное написание слов.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Орфографические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</w:t>
            </w:r>
            <w:proofErr w:type="gramEnd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Пользоваться личными орфографическими словарями участникам экзамена в целях предупреждения недопущения нарушений Порядка в части использования справочных материалов, письменных заметок </w:t>
            </w: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Аудитории проведения экзамена оснащаются техническими средствами, обеспечивающими качественное воспроизведение аудиозаписей. 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экзамен по русскому языку в аудиторию не допускаются специалисты по русскому языку, литературе, родному языку и родной литературе.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Линейка, не содержащая справочной информации, для построения чертежей и рисунков; </w:t>
            </w:r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справочные материалы, содержащие основные формулы курса математики образовательной программы основного общего образования.</w:t>
            </w: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экзамене в аудиторию не допускаются специалисты по математике. 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Каждая аудитория для проведения письменной части ГИА по иностранным языкам должна быть оснащена техническим средством, обеспечивающим </w:t>
            </w: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качественное воспроизведение аудиозаписей, содержащихся на электронных носителях,</w:t>
            </w:r>
            <w:r w:rsidRPr="001459C8" w:rsidDel="00E713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для выполнения заданий раздела 1 «Задания по </w:t>
            </w:r>
            <w:proofErr w:type="spellStart"/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аудированию</w:t>
            </w:r>
            <w:proofErr w:type="spellEnd"/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». Аудитории для проведения устной части (раздел «Говорение») экзамена должны быть оснащены компьютерной техникой, не имеющей доступа к сети Интернет, </w:t>
            </w:r>
            <w:proofErr w:type="spellStart"/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аудиогарнитурой</w:t>
            </w:r>
            <w:proofErr w:type="spellEnd"/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для выполнения заданий раздела «Говорение» КИМ ОГЭ. Для проведения устной части экзамена могут использоваться лингафонные кабинеты с соответствующим оборудованием.</w:t>
            </w: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Toc5966533"/>
            <w:bookmarkStart w:id="1" w:name="_Toc24371497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ОГЭ по иностранным языкам состоит из письменной и устной частей, которые проводятся в один день или в несколько дней в соответствии с решением ОИВ с учетом единого расписания проведения экзаменов.</w:t>
            </w:r>
            <w:bookmarkEnd w:id="0"/>
            <w:bookmarkEnd w:id="1"/>
          </w:p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Экзамен состоит из 5-ти разделов с рекомендуемым временем выполнения заданий: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раздел 1 «Задания по </w:t>
            </w:r>
            <w:proofErr w:type="spellStart"/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аудированию</w:t>
            </w:r>
            <w:proofErr w:type="spellEnd"/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 – 30 минут;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 2 «Задания по чтению» – 30 минут;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 3 «Задания по грамматике и лексике» – 30 минут;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 4 «Задание по письменной речи» – 30 минут;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 5 «Задания по говорению» - 15 минут на одного обучающегося.</w:t>
            </w:r>
          </w:p>
          <w:p w:rsidR="001459C8" w:rsidRPr="001459C8" w:rsidRDefault="001459C8" w:rsidP="001459C8">
            <w:pPr>
              <w:keepNext/>
              <w:keepLines/>
              <w:tabs>
                <w:tab w:val="num" w:pos="1077"/>
              </w:tabs>
              <w:spacing w:after="0" w:line="240" w:lineRule="auto"/>
              <w:ind w:firstLine="17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Toc5966534"/>
            <w:bookmarkStart w:id="3" w:name="_Toc25054094"/>
            <w:bookmarkStart w:id="4" w:name="_Toc25677131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экзамен по иностранному языку не допускаются специалисты по данному учебному предмету.</w:t>
            </w:r>
            <w:bookmarkEnd w:id="2"/>
            <w:bookmarkEnd w:id="3"/>
            <w:bookmarkEnd w:id="4"/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Привлекаются организаторы: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проводящие</w:t>
            </w:r>
            <w:proofErr w:type="gramEnd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письменную часть;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обеспечивающие порядок в аудитории подготовки устной части экзамена (раздел «Говорение»);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обеспечивающие порядок и проводящие инструктаж участников экзамена в аудитории проведения устной части экзамена (раздел «Говорение»);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ответственные за перемещение участников экзамена из аудитории подготовки в аудиторию проведения устной части экзамена (раздел «Говорение»).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проведению устной и письменной частей экзамена привлекаются технические специалисты, обеспечивающие работу звуковоспроизводящей и звукозаписывающей аппаратуры. 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проведения экзамена по иностранным языкам необходимо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несколько аудиторий: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аудитория для проведения письменной части экзамена (одна аудитория на группу экзаменуемых, состоящую из 15 человек);</w:t>
            </w:r>
            <w:proofErr w:type="gramEnd"/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аудитория (и) подготовки к устной части экзамена (раздел «Говорение»);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аудитория (и) проведения устной части экзамена (раздел «Говорение»).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Каждая аудитория для проведения письменной части экзамена должна быть оснащена аппаратурой, которая может обеспечивать качественное воспроизведение аудиозаписей, и каждая аудитория проведения для устной части экзамена (раздел «Говорение») должна быть оснащена аппаратурой, которая может обеспечивать качественную запись и воспроизведение аудиозаписей. 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Литература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Полные тексты художественных произведений, а также сборники лирики.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Полные тексты художественных произведений, а также сборники лирики 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</w:t>
            </w:r>
            <w:proofErr w:type="gramEnd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Пользоваться личными полными текстами художественных произведений, а также сборниками лирики участникам экзамена в целях предупреждения нарушений Порядка в части использования справочных материалов, письменных заметок </w:t>
            </w: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экзамене в аудиторию не допускаются специалисты по русскому языку и литературе. 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Художественные тексты не предоставляются индивидуально каждому участнику экзамена. Экзаменуемые по мере необходимости работают с текстами за отдельными столами, на которых находятся нужные книги. При проведении экзамена необходимо подготовить книги в нескольких экземплярах для каждой аудитории (в зависимости от наполнения). 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Книги следует подготовить таким образом, чтобы у </w:t>
            </w:r>
            <w:proofErr w:type="gramStart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экзаменуемого</w:t>
            </w:r>
            <w:proofErr w:type="gramEnd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 возникало возможности работать с комментариями и вступительными статьями к художественным текстам. Организатор должен обеспечить равные условия доступа к художественным текстам для всех участников экзамена. 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Информатика и ИКТ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Компьютерная техника, не имеющая доступа к сети Интернет.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Часть 2 содержит 3 задания, которые подразумевают практическую работу участников экзамена за компьютером с использованием специального </w:t>
            </w:r>
            <w:proofErr w:type="gramStart"/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1459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 части 1 выполняются участниками экзамена без использования компьютеров и других технических средств. Вычислительная сложность заданий не требует использования калькуляторов.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Задания части 2 выполняются участниками экзамена на компьютере. 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экзамене в аудиторию не допускаются специалисты по информатике и ИКТ. В  аудитории должен присутствовать технический специалист, способный оказать участникам экзамена помощь в запуске необходимого </w:t>
            </w:r>
            <w:proofErr w:type="gramStart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сохранении файлов в необходимом формате, каталоге и с необходимым именем.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компьютере должны быть установлены </w:t>
            </w: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знакомые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обучающимся программы. </w:t>
            </w: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Для выполнения задания 13.1 необходима программа для работы с презентациями.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Для выполнения задания 13.2 необходим текстовый процессор.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 xml:space="preserve">Для выполнения задания 14 необходима программа для работы с электронными </w:t>
            </w: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lastRenderedPageBreak/>
              <w:t>таблицами.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Задание 15.1 предусматривает разработку алгоритма для исполнителя «Робот». Для выполнения задания 15.1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 (http://www.niisi.ru/kumir) или любая другая среда, позволяющая моделировать исполнителя «Робот». В случае</w:t>
            </w:r>
            <w:proofErr w:type="gramStart"/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 xml:space="preserve"> если синтаксис команд исполнителя в используемой среде отличается от 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15.1 записывается в простом текстовом редакторе.</w:t>
            </w:r>
          </w:p>
          <w:p w:rsidR="001459C8" w:rsidRPr="001459C8" w:rsidRDefault="001459C8" w:rsidP="00145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NewRoman" w:hAnsi="Times New Roman" w:cs="Times New Roman"/>
                <w:sz w:val="26"/>
                <w:szCs w:val="26"/>
                <w:lang w:eastAsia="ru-RU"/>
              </w:rPr>
              <w:t>Задание 15.2 предусматривает запись алгоритма на универсальном языке программирования. В этом случае для выполнения задания необходима система программирования, используемая при обучении. Решением каждого задания части 2 является отдельный файл, подготовленный в соответствующей программе (текстовом редакторе или электронной таблице). Экзаменуемые сохраняют данные файлы в каталог под именами, указанными техническим специалистом.</w:t>
            </w:r>
            <w:r w:rsidRPr="001459C8" w:rsidDel="003E07F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  <w:tr w:rsidR="001459C8" w:rsidRPr="001459C8" w:rsidTr="001459C8">
        <w:tc>
          <w:tcPr>
            <w:tcW w:w="237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История</w:t>
            </w:r>
          </w:p>
        </w:tc>
        <w:tc>
          <w:tcPr>
            <w:tcW w:w="4395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обучения и воспитания не используются.</w:t>
            </w:r>
          </w:p>
        </w:tc>
        <w:tc>
          <w:tcPr>
            <w:tcW w:w="9416" w:type="dxa"/>
            <w:shd w:val="clear" w:color="auto" w:fill="auto"/>
          </w:tcPr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экзамене в аудиторию не допускаются специалисты в области истории и обществознания. </w:t>
            </w:r>
          </w:p>
          <w:p w:rsidR="001459C8" w:rsidRPr="001459C8" w:rsidRDefault="001459C8" w:rsidP="001459C8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45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Проверку экзаменационных работ (заданий с развернутыми ответами) осуществляют эксперты, прошедшие специальную подготовку по проверке и оцениванию заданий с развернутыми ответами.</w:t>
            </w:r>
          </w:p>
        </w:tc>
      </w:tr>
    </w:tbl>
    <w:p w:rsidR="00B1065C" w:rsidRDefault="00B1065C">
      <w:bookmarkStart w:id="5" w:name="_GoBack"/>
      <w:bookmarkEnd w:id="5"/>
    </w:p>
    <w:sectPr w:rsidR="00B1065C" w:rsidSect="001459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8E"/>
    <w:rsid w:val="001459C8"/>
    <w:rsid w:val="0019198E"/>
    <w:rsid w:val="00B1065C"/>
    <w:rsid w:val="00B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2019-12-18T15:18:00Z</dcterms:created>
  <dcterms:modified xsi:type="dcterms:W3CDTF">2019-12-18T15:18:00Z</dcterms:modified>
</cp:coreProperties>
</file>